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8F" w:rsidRPr="00C5768F" w:rsidRDefault="00C5768F" w:rsidP="00C57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Цель обучения: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совершенствование компетентности аккредитованных лиц, углубление теоретических и практических знаний о современных подходах обеспечения соответствия требованиям национальной системы аккредитации, в области разработки и поддержания функционирования системы менеджмента в лаборатории, для более эффективной и компетентной работы сотрудников лаборатории и подготовки лаборатории к процедурам аккредитации и подтверждения компетентности в соответствии с новыми требованиями национальной системы аккредитации.</w:t>
      </w:r>
      <w:proofErr w:type="gramEnd"/>
    </w:p>
    <w:p w:rsidR="00C5768F" w:rsidRPr="00C5768F" w:rsidRDefault="00C5768F" w:rsidP="00FA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A5A65" w:rsidRPr="00C5768F" w:rsidRDefault="00FA5A65" w:rsidP="00FA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Вопросы программы дополнительного профессионального образования </w:t>
      </w:r>
    </w:p>
    <w:p w:rsidR="00FA5A65" w:rsidRPr="00C5768F" w:rsidRDefault="00FA5A65" w:rsidP="00FA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(повышения квалификации):</w:t>
      </w:r>
    </w:p>
    <w:p w:rsidR="00FA5A65" w:rsidRPr="00C5768F" w:rsidRDefault="00FA5A65" w:rsidP="00FA5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«Аккредитация и подтверждение компетентности лабораторий в соответствии с Федеральным Законом № 412 и изменениями в подзаконные акты в сфере аккредитации. Реализация требований к системе менеджмента испытательной лаборатории в соответствии с  ГОСТ ISO/IEC 17025 - 2019 и критериям аккредитации»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Приказ Росаккредитации от 09 августа 2019 г. № 144 "Об утверждении </w:t>
      </w:r>
      <w:proofErr w:type="gramStart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плана перехода участников национальной системы аккредитации</w:t>
      </w:r>
      <w:proofErr w:type="gramEnd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применение международного стандарта ISO/IEC 17025:2017 "Общие требования к компетентности испытательных и калибровочных лабораторий".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   Приказ Минэкономразвития России № 89 "О внесении изменений в некоторые приказы Минэкономразвития России по вопросам аккредитации в национальной системе аккредитации".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  Порядок перехода (утверждение и реализация плана) лаборатории на применение ГОСТ ISO/IEC 17025-2019 и его внедрение в деятельность лаборатории. Процессный подход и особенности его реализации.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Постановление Правительства РФ от 30.01.2020 № 65 "О признании утратившими силу нормативных правовых актов и отдельных положений нормативных правовых актов Правительства РФ, 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федерального государственного </w:t>
      </w:r>
      <w:proofErr w:type="gramStart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деятельностью аккредитованных лиц".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Постановление предусматривает признание </w:t>
      </w:r>
      <w:proofErr w:type="gramStart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утратившими</w:t>
      </w:r>
      <w:proofErr w:type="gramEnd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силу с 1 января 2021 года 11 постановлений Правительства и отмену 68 актов федеральных органов исполнительной власти, которые устанавливают требования для аккредитованных в национальной системе аккредитации лиц, среди которых: Приказ Минэкономразвития от 30.05.2014 г. № 326 "Об утверждении Критериев аккредитации"; Приказ № 329; Приказ № 570; Приказ № 506 и др.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.  Приказ Минэкономразвития России от 19 августа 2019 г. № 506 "О внесении изменений в приказ Минэкономразвития России от 30 мая 2014 г. № 326 "Об утверждении Критериев аккредитации".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Практическая реализация требований ГОСТ ISO/IEC 17025-2019.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Внесение изменений в систему менеджмента лаборатории на основании сопоставительного анализа ГОСТ ИСО/МЭК 17025-2009 и ГОСТ ISO/IEC 17025-2019, основные различия, структура и новшества.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Риск - ориентированный подход (риск - ориентированное мышление, управление рисками, оценка рисков в лаборатории) и его реализация. Организация системы управления рисками.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Основные принципы и логика современной риск - ориентированной системы управления деятельностью лаборатории. Индикаторы риска и основания для внепланового государственного контроля.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Действия в отношении рисков и возможностей в соответствии с ГОСТ </w:t>
      </w:r>
      <w:proofErr w:type="gramStart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ИСО 9001-2015 и ГОСТ ISO/IEC 17025-2019. Разработка процедуры "Управление рисками и возможностями в испытательной лаборатории".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11.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 Обеспечение внедрения и функционирования системы менеджмента лаборатории в соответствии с требованиями критериев аккредитации (с изменениями, внесенными в связи с принятием ГОСТ ISO/IEC 17025-2019 и изменениями, внесенными в  Приказ № 326 и ФЗ № 412).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12.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Требования стандарта ГОСТ ISO/IEC 17025-2019 к структуре, ресурсам, персоналу, к процессам, к оборудованию и метрологической </w:t>
      </w:r>
      <w:proofErr w:type="spellStart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прослеживаемости</w:t>
      </w:r>
      <w:proofErr w:type="spellEnd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13. 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проведения оценки соответствия лаборатории критериям аккредитации и подтверждения компетентности их деятельности в соответствии с 412-ФЗ "Об аккредитации в национальной системе аккредитации" с изменениями от 29.07.2018 г.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14.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  Приказ Росаккредитации от 25.01.2019 № 11 "Об утверждении методических рекомендаций по описанию области аккредитации испытательной лаборатории (центра)".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15.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Требования к беспристрастности и конфиденциальности в деятельности лаборатории. Требования к структуре лаборатории.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16. 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Политика Росаккредитации в отношении проверки квалификации путем проведения межлабораторных сличительных (сравнительных) испытаний. Политика Росаккредитации по </w:t>
      </w:r>
      <w:proofErr w:type="spellStart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прослеживаемости</w:t>
      </w:r>
      <w:proofErr w:type="spellEnd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результатов измерений.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17.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 Изменения требований к порядку представления заявителем заявления и документов, необходимых для аккредитации и их приёма национальным органом по аккредитации. Изменения порядка оценки соответствия заявителя критериям аккредитации и прохождения процедуры подтверждения компетентности.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18.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  Изменения порядка прекращения аккредитации, приостановления действия аккредитации и порядка сокращения области аккредитации. 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19.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  Перечень несоответствий, влекущих за собой отказ в аккредитации, приостановление действия аккредитации.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20. 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и порядок одновременного прохождения процедуры подтверждения компетентности с иными процедурами (расширение области аккредитации, изменение места осуществления деятельности). Расчёт сроков подтверждения компетентности и формирование комплекта документов для прохождения процедуры подтверждения компетентности.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21.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Правила и порядок формирования областей аккредитации (при аккредитации, расширении и сокращении области аккредитации). Система управления компетентностью работников испытательных лабораторий. Достоверные результаты измерений и практика осуществления федерального государственного </w:t>
      </w:r>
      <w:proofErr w:type="gramStart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деятельностью аккредитованных лиц.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22.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Грамотное ведение документации (в том числе рекомендации по оформлению Руководства по качеству) в аккредитованной лаборатории в соответствии с новыми требованиями.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23.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Принципы проведения внутренних аудитов. Программа и планы аудита: разработка, внедрение, мониторинг, анализ, улучшение. Требования ISO 19011:2011. Аттестация внутренних аудиторов.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24.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Отчетность о результатах испытаний перед Федеральной службой по аккредитации. Порядок предоставления сведений о деятельности лаборатории во ФГИС Росаккредитации с учётом последних изменений. Порядок подачи заявлений из личного кабинета аккредитованного лица.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25.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Федеральный государственный </w:t>
      </w:r>
      <w:proofErr w:type="gramStart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деятельностью аккредитованных испытательных лабораторий по результатам процедуры подтверждения компетентности. Обзор допущенных нарушений и принятых решений Федеральной службой по аккредитации.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26.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C576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Практические занятия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: разработка проекта руководства по качеству, заполнение форм области аккредитации для различных объектов испытаний; разработка формы ведения индивидуальных и сводных журналов; оформление протоколов испытаний; формы отчетности; план внутренних проверок. Идентификация, анализ и оценка рисков, связанных с лабораторной деятельностью. </w:t>
      </w:r>
    </w:p>
    <w:p w:rsidR="00FA5A65" w:rsidRPr="00C5768F" w:rsidRDefault="00FA5A65" w:rsidP="00FA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768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27. </w:t>
      </w:r>
      <w:r w:rsidR="00C5768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Деловые игры</w:t>
      </w:r>
      <w:r w:rsidRPr="00C5768F">
        <w:rPr>
          <w:rFonts w:ascii="Times New Roman" w:eastAsia="Times New Roman" w:hAnsi="Times New Roman" w:cs="Times New Roman"/>
          <w:sz w:val="23"/>
          <w:szCs w:val="23"/>
          <w:lang w:eastAsia="ru-RU"/>
        </w:rPr>
        <w:t>: рассмотрение типичных несоответствий, выявленных при прохождении процедур аккредитации и подтверждения компетентности.</w:t>
      </w:r>
    </w:p>
    <w:p w:rsidR="00341B82" w:rsidRPr="00C5768F" w:rsidRDefault="00341B82">
      <w:pPr>
        <w:rPr>
          <w:sz w:val="23"/>
          <w:szCs w:val="23"/>
        </w:rPr>
      </w:pPr>
      <w:bookmarkStart w:id="0" w:name="_GoBack"/>
      <w:bookmarkEnd w:id="0"/>
    </w:p>
    <w:sectPr w:rsidR="00341B82" w:rsidRPr="00C5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65"/>
    <w:rsid w:val="00341B82"/>
    <w:rsid w:val="00C5768F"/>
    <w:rsid w:val="00F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ХДН</dc:creator>
  <cp:lastModifiedBy>ХДН</cp:lastModifiedBy>
  <cp:revision>2</cp:revision>
  <dcterms:created xsi:type="dcterms:W3CDTF">2020-02-27T05:59:00Z</dcterms:created>
  <dcterms:modified xsi:type="dcterms:W3CDTF">2020-02-27T06:20:00Z</dcterms:modified>
</cp:coreProperties>
</file>